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AC386B" w:rsidRPr="00232A96" w:rsidRDefault="00AC386B" w:rsidP="00232A9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386B" w:rsidRPr="00232A96" w:rsidRDefault="00AC386B" w:rsidP="00232A96">
      <w:pPr>
        <w:tabs>
          <w:tab w:val="left" w:pos="3400"/>
          <w:tab w:val="center" w:pos="5037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232A9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      </w:t>
      </w: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788"/>
        <w:gridCol w:w="4782"/>
      </w:tblGrid>
      <w:tr w:rsidR="00AC386B" w:rsidRPr="00232A96" w:rsidTr="009C7295">
        <w:tc>
          <w:tcPr>
            <w:tcW w:w="4788" w:type="dxa"/>
          </w:tcPr>
          <w:p w:rsidR="00AC386B" w:rsidRPr="00232A96" w:rsidRDefault="00AC386B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AC386B" w:rsidRPr="00232A96" w:rsidRDefault="00AC386B" w:rsidP="00232A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</w:tcPr>
          <w:p w:rsidR="00AC386B" w:rsidRPr="00232A96" w:rsidRDefault="00AC386B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32A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86B" w:rsidRPr="00232A96" w:rsidRDefault="00AC386B" w:rsidP="00232A96">
      <w:pPr>
        <w:pStyle w:val="1"/>
        <w:ind w:firstLine="567"/>
        <w:jc w:val="both"/>
        <w:rPr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232A96" w:rsidRDefault="00AC386B" w:rsidP="00232A96">
      <w:pPr>
        <w:pStyle w:val="3"/>
        <w:ind w:firstLine="567"/>
        <w:rPr>
          <w:sz w:val="28"/>
          <w:szCs w:val="28"/>
          <w:u w:val="none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32BE5" w:rsidRPr="00C33164" w:rsidRDefault="00A32BE5" w:rsidP="00A32BE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33164">
        <w:rPr>
          <w:rFonts w:ascii="Times New Roman" w:hAnsi="Times New Roman" w:cs="Times New Roman"/>
          <w:b/>
          <w:sz w:val="28"/>
          <w:szCs w:val="28"/>
          <w:lang w:val="kk-KZ" w:eastAsia="ru-RU"/>
        </w:rPr>
        <w:t>«Мемлекеттік қызмет көрсетуді цифрландыруды құқықтық қамтамасыз ету»</w:t>
      </w:r>
    </w:p>
    <w:p w:rsidR="00AC386B" w:rsidRPr="00C33164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33164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AC386B" w:rsidRPr="00C33164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C33164" w:rsidRDefault="00AC386B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3164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AC386B" w:rsidRPr="00C33164" w:rsidRDefault="00AC386B" w:rsidP="00232A96">
      <w:pPr>
        <w:tabs>
          <w:tab w:val="left" w:pos="1700"/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32BE5" w:rsidRPr="00C33164" w:rsidRDefault="00A32BE5" w:rsidP="00A32BE5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C3316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  <w:r w:rsidRPr="00C33164">
        <w:rPr>
          <w:rFonts w:ascii="Times New Roman" w:hAnsi="Times New Roman" w:cs="Times New Roman"/>
          <w:b/>
          <w:sz w:val="28"/>
          <w:szCs w:val="28"/>
          <w:lang w:val="kk-KZ"/>
        </w:rPr>
        <w:t>7M04205 – «Мемлекеттік қызмет және әкімшілік қызмет»</w:t>
      </w: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C33164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C386B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курс, күзгі семестр, </w:t>
      </w:r>
      <w:r w:rsidR="00807EFA" w:rsidRPr="00232A9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C386B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jc w:val="center"/>
        <w:rPr>
          <w:b/>
          <w:szCs w:val="28"/>
          <w:lang w:val="kk-KZ"/>
        </w:rPr>
      </w:pPr>
    </w:p>
    <w:p w:rsidR="00AC386B" w:rsidRPr="00A32BE5" w:rsidRDefault="00AC386B" w:rsidP="00232A96">
      <w:pPr>
        <w:pStyle w:val="a3"/>
        <w:ind w:firstLine="567"/>
        <w:jc w:val="center"/>
        <w:rPr>
          <w:bCs/>
          <w:szCs w:val="28"/>
        </w:rPr>
      </w:pPr>
      <w:bookmarkStart w:id="0" w:name="_GoBack"/>
      <w:bookmarkEnd w:id="0"/>
      <w:r w:rsidRPr="00232A96">
        <w:rPr>
          <w:bCs/>
          <w:szCs w:val="28"/>
          <w:lang w:val="kk-KZ"/>
        </w:rPr>
        <w:t>Алматы, 202</w:t>
      </w:r>
      <w:r w:rsidR="00CE003B" w:rsidRPr="00A32BE5">
        <w:rPr>
          <w:bCs/>
          <w:szCs w:val="28"/>
        </w:rPr>
        <w:t>2</w:t>
      </w:r>
    </w:p>
    <w:p w:rsidR="00A32BE5" w:rsidRDefault="00A32BE5" w:rsidP="00A32BE5">
      <w:pPr>
        <w:jc w:val="center"/>
        <w:rPr>
          <w:b/>
          <w:szCs w:val="28"/>
          <w:lang w:val="kk-KZ" w:eastAsia="ru-RU"/>
        </w:rPr>
      </w:pPr>
    </w:p>
    <w:p w:rsidR="00AC386B" w:rsidRPr="00A32BE5" w:rsidRDefault="00A32BE5" w:rsidP="00A32BE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32BE5">
        <w:rPr>
          <w:rFonts w:ascii="Times New Roman" w:hAnsi="Times New Roman" w:cs="Times New Roman"/>
          <w:sz w:val="28"/>
          <w:szCs w:val="28"/>
          <w:lang w:val="kk-KZ" w:eastAsia="ru-RU"/>
        </w:rPr>
        <w:t>«Мемлекеттік қызмет көрсетуді цифрландыруды құқықтық қамтамасыз ету»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A32BE5">
        <w:rPr>
          <w:rFonts w:ascii="Times New Roman" w:hAnsi="Times New Roman" w:cs="Times New Roman"/>
          <w:sz w:val="28"/>
          <w:szCs w:val="28"/>
          <w:lang w:val="kk-KZ"/>
        </w:rPr>
        <w:t xml:space="preserve">әні </w:t>
      </w:r>
      <w:r w:rsidR="00AC386B" w:rsidRPr="00A32BE5">
        <w:rPr>
          <w:rFonts w:ascii="Times New Roman" w:hAnsi="Times New Roman" w:cs="Times New Roman"/>
          <w:sz w:val="28"/>
          <w:szCs w:val="28"/>
          <w:lang w:val="kk-KZ"/>
        </w:rPr>
        <w:t>бойынша оқу жұмыс жоспарының</w:t>
      </w:r>
      <w:r w:rsidR="00AC386B" w:rsidRPr="00A32BE5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AC386B" w:rsidRPr="00A32BE5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AC386B" w:rsidRPr="00A32BE5" w:rsidRDefault="00AC386B" w:rsidP="00A32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CE003B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</w:t>
      </w:r>
      <w:r w:rsidR="00677F9B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="00A32BE5">
        <w:rPr>
          <w:rFonts w:ascii="Times New Roman" w:hAnsi="Times New Roman" w:cs="Times New Roman"/>
          <w:sz w:val="28"/>
          <w:szCs w:val="28"/>
          <w:lang w:val="kk-KZ"/>
        </w:rPr>
        <w:t xml:space="preserve"> Исабеков А.К.</w:t>
      </w:r>
    </w:p>
    <w:p w:rsidR="00AC386B" w:rsidRPr="00232A96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pStyle w:val="a3"/>
        <w:ind w:firstLine="567"/>
        <w:rPr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ның мәжілісінде қаралып ұсынылды. </w:t>
      </w:r>
    </w:p>
    <w:p w:rsidR="00AC386B" w:rsidRPr="00232A96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677F9B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="00677F9B">
        <w:rPr>
          <w:rFonts w:ascii="Times New Roman" w:hAnsi="Times New Roman" w:cs="Times New Roman"/>
          <w:bCs/>
          <w:sz w:val="28"/>
          <w:szCs w:val="28"/>
        </w:rPr>
        <w:t>31</w:t>
      </w:r>
      <w:r w:rsidR="00CE003B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677F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тамыз</w:t>
      </w:r>
      <w:r w:rsidR="0086589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CE003B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="0086589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202</w:t>
      </w:r>
      <w:r w:rsidR="00CE003B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№</w:t>
      </w:r>
      <w:r w:rsidR="00CE003B">
        <w:rPr>
          <w:rFonts w:ascii="Times New Roman" w:hAnsi="Times New Roman" w:cs="Times New Roman"/>
          <w:bCs/>
          <w:sz w:val="28"/>
          <w:szCs w:val="28"/>
          <w:lang w:val="kk-KZ"/>
        </w:rPr>
        <w:t>_</w:t>
      </w:r>
      <w:r w:rsidR="00677F9B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CE003B">
        <w:rPr>
          <w:rFonts w:ascii="Times New Roman" w:hAnsi="Times New Roman" w:cs="Times New Roman"/>
          <w:bCs/>
          <w:sz w:val="28"/>
          <w:szCs w:val="28"/>
          <w:lang w:val="kk-KZ"/>
        </w:rPr>
        <w:t>__</w:t>
      </w: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CE003B" w:rsidRDefault="00CE003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AC386B" w:rsidRPr="00232A96" w:rsidRDefault="00AC386B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з.ғ.д., профессор                      ________________             </w:t>
      </w:r>
      <w:r w:rsidR="00193050">
        <w:rPr>
          <w:rFonts w:ascii="Times New Roman" w:hAnsi="Times New Roman" w:cs="Times New Roman"/>
          <w:bCs/>
          <w:sz w:val="28"/>
          <w:szCs w:val="28"/>
          <w:lang w:val="kk-KZ"/>
        </w:rPr>
        <w:t>Ибраева А.С.</w:t>
      </w:r>
    </w:p>
    <w:p w:rsidR="00AC386B" w:rsidRPr="00232A96" w:rsidRDefault="00AC386B" w:rsidP="00232A9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232A96" w:rsidRDefault="00AC386B" w:rsidP="00232A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232A96" w:rsidRDefault="00AC386B" w:rsidP="00232A96">
      <w:pPr>
        <w:pStyle w:val="3"/>
        <w:tabs>
          <w:tab w:val="left" w:pos="364"/>
          <w:tab w:val="left" w:pos="625"/>
          <w:tab w:val="center" w:pos="5102"/>
        </w:tabs>
        <w:ind w:firstLine="567"/>
        <w:jc w:val="left"/>
        <w:rPr>
          <w:sz w:val="28"/>
          <w:szCs w:val="28"/>
          <w:lang w:val="kk-KZ"/>
        </w:rPr>
      </w:pPr>
      <w:r w:rsidRPr="00232A96">
        <w:rPr>
          <w:sz w:val="28"/>
          <w:szCs w:val="28"/>
          <w:u w:val="none"/>
          <w:lang w:val="kk-KZ"/>
        </w:rPr>
        <w:tab/>
      </w:r>
      <w:r w:rsidRPr="00232A96">
        <w:rPr>
          <w:sz w:val="28"/>
          <w:szCs w:val="28"/>
          <w:lang w:val="kk-KZ"/>
        </w:rPr>
        <w:t xml:space="preserve"> </w:t>
      </w:r>
    </w:p>
    <w:p w:rsidR="00AC386B" w:rsidRPr="00232A96" w:rsidRDefault="00AC386B" w:rsidP="00232A9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A32BE5" w:rsidRDefault="00AC386B" w:rsidP="00232A96">
      <w:pPr>
        <w:pStyle w:val="c27"/>
        <w:spacing w:before="0" w:beforeAutospacing="0" w:after="0" w:afterAutospacing="0"/>
        <w:ind w:firstLine="567"/>
        <w:rPr>
          <w:rStyle w:val="c1"/>
          <w:sz w:val="28"/>
          <w:szCs w:val="28"/>
          <w:lang w:val="kk-KZ"/>
        </w:rPr>
      </w:pPr>
    </w:p>
    <w:p w:rsidR="00AC386B" w:rsidRPr="00232A96" w:rsidRDefault="00AC386B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kk-KZ"/>
        </w:rPr>
      </w:pPr>
    </w:p>
    <w:p w:rsidR="000214B0" w:rsidRPr="00232A96" w:rsidRDefault="000214B0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kk-KZ"/>
        </w:rPr>
      </w:pPr>
    </w:p>
    <w:p w:rsidR="000214B0" w:rsidRPr="00232A96" w:rsidRDefault="000214B0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kk-KZ"/>
        </w:rPr>
      </w:pPr>
    </w:p>
    <w:p w:rsidR="000214B0" w:rsidRPr="00232A96" w:rsidRDefault="000214B0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kk-KZ"/>
        </w:rPr>
      </w:pPr>
    </w:p>
    <w:p w:rsidR="000214B0" w:rsidRPr="00232A96" w:rsidRDefault="000214B0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sz w:val="28"/>
          <w:szCs w:val="28"/>
          <w:lang w:val="kk-KZ"/>
        </w:rPr>
      </w:pPr>
    </w:p>
    <w:p w:rsidR="00AC386B" w:rsidRPr="00232A96" w:rsidRDefault="00AC386B" w:rsidP="00232A96">
      <w:pPr>
        <w:pStyle w:val="c2"/>
        <w:spacing w:before="0" w:beforeAutospacing="0" w:after="0" w:afterAutospacing="0"/>
        <w:ind w:firstLine="567"/>
        <w:jc w:val="center"/>
        <w:rPr>
          <w:rStyle w:val="c0"/>
          <w:b/>
          <w:sz w:val="28"/>
          <w:szCs w:val="28"/>
          <w:lang w:val="kk-KZ"/>
        </w:rPr>
      </w:pPr>
      <w:r w:rsidRPr="00232A96">
        <w:rPr>
          <w:rStyle w:val="c0"/>
          <w:b/>
          <w:sz w:val="28"/>
          <w:szCs w:val="28"/>
          <w:lang w:val="kk-KZ"/>
        </w:rPr>
        <w:t>КІРІСПЕ</w:t>
      </w:r>
    </w:p>
    <w:p w:rsidR="00AC386B" w:rsidRPr="00232A96" w:rsidRDefault="00AC386B" w:rsidP="00232A96">
      <w:pPr>
        <w:pStyle w:val="c2"/>
        <w:spacing w:before="0" w:beforeAutospacing="0" w:after="0" w:afterAutospacing="0"/>
        <w:ind w:firstLine="567"/>
        <w:jc w:val="center"/>
        <w:rPr>
          <w:rStyle w:val="c0"/>
          <w:b/>
          <w:sz w:val="28"/>
          <w:szCs w:val="28"/>
          <w:lang w:val="kk-KZ"/>
        </w:rPr>
      </w:pPr>
    </w:p>
    <w:p w:rsidR="000214B0" w:rsidRDefault="000214B0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Киберқауіпсіздіктің құқықтық реттелуі пәнінің мақсаты -</w:t>
      </w:r>
      <w:r w:rsidR="00F3215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кездегі мемлекетте қауіпсіздіктің қамтамасыз етілуінің құқықтық реттелуін зерттеу, кибер қауіпсіздікті түсіну, кибер қауіпсіздікті қамтамасыз етудің құқықтық тетіктерін зерттеу болып табылады. </w:t>
      </w:r>
    </w:p>
    <w:p w:rsidR="008F35E8" w:rsidRDefault="008F35E8" w:rsidP="00F32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35E8">
        <w:rPr>
          <w:rFonts w:ascii="Times New Roman" w:hAnsi="Times New Roman" w:cs="Times New Roman"/>
          <w:sz w:val="28"/>
          <w:szCs w:val="28"/>
          <w:lang w:val="kk-KZ"/>
        </w:rPr>
        <w:t>ХХІ ғасыр цифрлық даму дәуірі деп танылды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 технологиялар мен ақпараттық 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коммуникациялар,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 xml:space="preserve"> әлемдік қоғамдастық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тағы 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 xml:space="preserve">IT-технологиялар мемлекет пен қоғам өмірінің барлық маңызды салаларына 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>еніп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 xml:space="preserve"> кетті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. Оның ішінде: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 xml:space="preserve"> экономика, құқық,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F35E8">
        <w:rPr>
          <w:rFonts w:ascii="Times New Roman" w:hAnsi="Times New Roman" w:cs="Times New Roman"/>
          <w:sz w:val="28"/>
          <w:szCs w:val="28"/>
          <w:lang w:val="kk-KZ"/>
        </w:rPr>
        <w:t>медицина, білім беру, зияткерлік меншік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және т.б. салаларға енді.</w:t>
      </w:r>
    </w:p>
    <w:p w:rsidR="00E0509E" w:rsidRPr="00E0509E" w:rsidRDefault="00E0509E" w:rsidP="00F32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0509E">
        <w:rPr>
          <w:rFonts w:ascii="Times New Roman" w:hAnsi="Times New Roman" w:cs="Times New Roman"/>
          <w:sz w:val="28"/>
          <w:szCs w:val="28"/>
          <w:lang w:val="kk-KZ"/>
        </w:rPr>
        <w:t>Алайда, барлық мемлекеттік органдарды цифрландыру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>киберқылмыс өкілдерінің де назарын қоғамдық процестерге аударды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 xml:space="preserve"> осылайша, </w:t>
      </w:r>
      <w:r w:rsidR="00F32152" w:rsidRPr="00E0509E">
        <w:rPr>
          <w:rFonts w:ascii="Times New Roman" w:hAnsi="Times New Roman" w:cs="Times New Roman"/>
          <w:sz w:val="28"/>
          <w:szCs w:val="28"/>
          <w:lang w:val="kk-KZ"/>
        </w:rPr>
        <w:t>электрондық тасымалдаушылардың, жүйелердің кибершабуылдарының әрекеттері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F32152" w:rsidRPr="00E050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>бүкіл әлемде жыл сайынғы өсім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>байқалады. Бұл ретте цифрлық қауіпсіздік деңгейі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>өте төмен болып қалады,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 xml:space="preserve">кибершабуылдардың жартысынан көбі сәтті болғандықтан, ақпарат 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>акерлер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>дің қолына түседі. Сондықтанда мемлекеттің киберқауіпсіздікті құқықтық тұрғыдан реттеп, қорғауы</w:t>
      </w:r>
      <w:r w:rsidRPr="00E0509E">
        <w:rPr>
          <w:rFonts w:ascii="Times New Roman" w:hAnsi="Times New Roman" w:cs="Times New Roman"/>
          <w:sz w:val="28"/>
          <w:szCs w:val="28"/>
          <w:lang w:val="kk-KZ"/>
        </w:rPr>
        <w:t xml:space="preserve"> әсіресе өзекті және маңызды</w:t>
      </w:r>
      <w:r w:rsidR="00F32152">
        <w:rPr>
          <w:rFonts w:ascii="Times New Roman" w:hAnsi="Times New Roman" w:cs="Times New Roman"/>
          <w:sz w:val="28"/>
          <w:szCs w:val="28"/>
          <w:lang w:val="kk-KZ"/>
        </w:rPr>
        <w:t xml:space="preserve"> болып қала береді.</w:t>
      </w:r>
    </w:p>
    <w:p w:rsid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88216664"/>
    </w:p>
    <w:p w:rsidR="00232A96" w:rsidRP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232A96" w:rsidRPr="00232A96" w:rsidRDefault="00232A96" w:rsidP="00232A96">
      <w:pPr>
        <w:pStyle w:val="c2"/>
        <w:spacing w:before="0" w:beforeAutospacing="0" w:after="0" w:afterAutospacing="0"/>
        <w:ind w:firstLine="567"/>
        <w:jc w:val="both"/>
        <w:rPr>
          <w:rStyle w:val="c0"/>
          <w:b/>
          <w:sz w:val="28"/>
          <w:szCs w:val="28"/>
          <w:lang w:val="kk-KZ"/>
        </w:rPr>
      </w:pPr>
    </w:p>
    <w:p w:rsidR="00232A96" w:rsidRPr="00232A96" w:rsidRDefault="00232A96" w:rsidP="00232A96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 w:rsidR="00186E50">
        <w:rPr>
          <w:b/>
          <w:sz w:val="28"/>
          <w:szCs w:val="28"/>
          <w:lang w:val="kk-KZ"/>
        </w:rPr>
        <w:t>ауызша офлайн</w:t>
      </w:r>
      <w:r w:rsidRPr="00232A96">
        <w:rPr>
          <w:sz w:val="28"/>
          <w:szCs w:val="28"/>
          <w:lang w:val="kk-KZ"/>
        </w:rPr>
        <w:t xml:space="preserve"> жүргізіледі.</w:t>
      </w:r>
    </w:p>
    <w:p w:rsidR="00232A96" w:rsidRPr="00232A96" w:rsidRDefault="00186E50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</w:t>
      </w:r>
      <w:r w:rsidR="00232A96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өтуді бақылау – </w:t>
      </w:r>
      <w:r w:rsidR="00232A96" w:rsidRPr="00232A96"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 w:rsidR="00232A96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университет маманы (прокторинг) және емтихан тапсырушының жұмыс үстелін, кадрдағы адамдар санын, сыртқы дыбыстарды немесе дауыстарды, тіпті көру қимылдарын  бақылайтын бағдарлама (киберпрокторинг) қадағалай алады. Аралас прокторинг түрі жиі қолданылады: бағдарлама ескертулерімен емтиханның бейнежазбасын университет маманы қосымша қарап және емтихан тапсыру тәртібін бұзу орын алды ма, жоқ па, соны шешеді. </w:t>
      </w:r>
    </w:p>
    <w:p w:rsidR="00232A96" w:rsidRPr="00232A96" w:rsidRDefault="00186E50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</w:t>
      </w:r>
      <w:r w:rsidR="00232A96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ұзақтығы: </w:t>
      </w:r>
    </w:p>
    <w:p w:rsidR="00232A96" w:rsidRPr="00232A96" w:rsidRDefault="00186E50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186E50">
        <w:rPr>
          <w:rFonts w:ascii="Times New Roman" w:hAnsi="Times New Roman" w:cs="Times New Roman"/>
          <w:sz w:val="28"/>
          <w:szCs w:val="28"/>
          <w:lang w:val="kk-KZ"/>
        </w:rPr>
        <w:t>15-20</w:t>
      </w:r>
      <w:r w:rsidR="00232A96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минут.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 w:rsidR="00186E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>кіріп отыруы тиіс.</w:t>
      </w:r>
    </w:p>
    <w:p w:rsidR="00232A96" w:rsidRPr="00232A96" w:rsidRDefault="00186E50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</w:t>
      </w:r>
      <w:r w:rsidR="00232A96"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 ағымдағы (АБ1 және АБ2) және қорытынды бақылаудан (ҚБ) оң баға алған жағдайда ғана пән бойынша қорытынды баға: Қорытынды баға = 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(АБ1+МТ+АБ2)/3 х 0,6+(ҚБх0,4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lastRenderedPageBreak/>
        <w:t>Студенттердің оқу жетістіктері сандық эквиваленті бар халықаралық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«FX»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бағасы тек қорытынды емтихан үшін қойылады.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 қайта тапсыра алады. 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>қайта тапсыру кезінде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>бағасын алған жағдайда білім алушы ақылы негізде оқу пәніне/модуліне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>бағасымен емтиханды қайта тапсыру ақылы негізде бір рет қана рұқсат етіледі.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«FX» </w:t>
      </w:r>
      <w:r w:rsidRPr="00232A96">
        <w:rPr>
          <w:rFonts w:ascii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бойынша оқу жұмыстарының барлық түрлерін орындайды және қорытынды бақылауды тапсырады.</w:t>
      </w: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A96" w:rsidRPr="00232A96" w:rsidRDefault="00232A96" w:rsidP="00232A96">
      <w:pPr>
        <w:spacing w:after="0" w:line="240" w:lineRule="auto"/>
        <w:ind w:firstLine="567"/>
        <w:jc w:val="both"/>
        <w:rPr>
          <w:rStyle w:val="s00"/>
          <w:rFonts w:ascii="Times New Roman" w:hAnsi="Times New Roman" w:cs="Times New Roman"/>
          <w:b/>
          <w:sz w:val="28"/>
          <w:szCs w:val="28"/>
        </w:rPr>
      </w:pPr>
      <w:r w:rsidRPr="00232A96">
        <w:rPr>
          <w:rStyle w:val="s00"/>
          <w:rFonts w:ascii="Times New Roman" w:hAnsi="Times New Roman" w:cs="Times New Roman"/>
          <w:b/>
          <w:sz w:val="28"/>
          <w:szCs w:val="28"/>
        </w:rPr>
        <w:t xml:space="preserve">Бағалау </w:t>
      </w:r>
      <w:proofErr w:type="spellStart"/>
      <w:r w:rsidRPr="00232A96">
        <w:rPr>
          <w:rStyle w:val="s00"/>
          <w:rFonts w:ascii="Times New Roman" w:hAnsi="Times New Roman" w:cs="Times New Roman"/>
          <w:b/>
          <w:sz w:val="28"/>
          <w:szCs w:val="28"/>
        </w:rPr>
        <w:t>шкаласы</w:t>
      </w:r>
      <w:proofErr w:type="spellEnd"/>
      <w:r w:rsidRPr="00232A96">
        <w:rPr>
          <w:rStyle w:val="s00"/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25"/>
        <w:gridCol w:w="1560"/>
        <w:gridCol w:w="2042"/>
        <w:gridCol w:w="2635"/>
      </w:tblGrid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Әріптік жүйе </w:t>
            </w:r>
            <w:proofErr w:type="spellStart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баға</w:t>
            </w:r>
          </w:p>
        </w:tc>
        <w:tc>
          <w:tcPr>
            <w:tcW w:w="1560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Сандық эквивалент</w:t>
            </w:r>
          </w:p>
        </w:tc>
        <w:tc>
          <w:tcPr>
            <w:tcW w:w="2042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Баллдары</w:t>
            </w:r>
            <w:proofErr w:type="spellEnd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(%-дық көрсеткіші)</w:t>
            </w:r>
          </w:p>
        </w:tc>
        <w:tc>
          <w:tcPr>
            <w:tcW w:w="26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Дәстүрлі жүйе </w:t>
            </w:r>
            <w:proofErr w:type="spellStart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баға</w:t>
            </w: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95-100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Өте жақсы</w:t>
            </w: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90-94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85-89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Жақсы</w:t>
            </w: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80-84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75-79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70-74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65-69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</w:t>
            </w: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60-64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55-59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50-54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25-49</w:t>
            </w:r>
          </w:p>
        </w:tc>
        <w:tc>
          <w:tcPr>
            <w:tcW w:w="26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Қанағаттанарлықсыз</w:t>
            </w:r>
          </w:p>
        </w:tc>
      </w:tr>
      <w:tr w:rsidR="00232A96" w:rsidRPr="00232A96" w:rsidTr="00AC436E">
        <w:trPr>
          <w:trHeight w:val="30"/>
          <w:jc w:val="center"/>
        </w:trPr>
        <w:tc>
          <w:tcPr>
            <w:tcW w:w="2825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2A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0-24</w:t>
            </w:r>
          </w:p>
        </w:tc>
        <w:tc>
          <w:tcPr>
            <w:tcW w:w="26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232A96" w:rsidRPr="00232A96" w:rsidRDefault="00232A96" w:rsidP="00232A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A96" w:rsidRP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96" w:rsidRP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A96" w:rsidRP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2A96" w:rsidRPr="00232A96" w:rsidRDefault="00232A96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ҚОРЫТЫНДЫ БАҚЫЛАУҒА ШЫҒАРЫЛАТЫН ОҚУ ТАҚЫРЫПТАРЫ</w:t>
      </w:r>
    </w:p>
    <w:bookmarkEnd w:id="1"/>
    <w:p w:rsidR="00CE5FF8" w:rsidRPr="00232A96" w:rsidRDefault="00CE5FF8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74FF" w:rsidRPr="00232A96" w:rsidRDefault="006D46D8" w:rsidP="00232A96">
      <w:pPr>
        <w:pStyle w:val="21"/>
        <w:spacing w:after="0" w:line="240" w:lineRule="auto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 т</w:t>
      </w:r>
      <w:r w:rsidR="00CE5FF8" w:rsidRPr="00232A96">
        <w:rPr>
          <w:b/>
          <w:sz w:val="28"/>
          <w:szCs w:val="28"/>
          <w:lang w:val="kk-KZ"/>
        </w:rPr>
        <w:t xml:space="preserve">ақырып. </w:t>
      </w:r>
      <w:r w:rsidR="00CE7D8E" w:rsidRPr="00232A96">
        <w:rPr>
          <w:b/>
          <w:sz w:val="28"/>
          <w:szCs w:val="28"/>
          <w:lang w:val="kk-KZ"/>
        </w:rPr>
        <w:t>"Кибер қауіпсіздікті құқықтық реттеу"  курсының түсінігі, пәні және міндеттері</w:t>
      </w:r>
      <w:r w:rsidR="000F74FF" w:rsidRPr="00232A96">
        <w:rPr>
          <w:b/>
          <w:sz w:val="28"/>
          <w:szCs w:val="28"/>
          <w:lang w:val="kk-KZ"/>
        </w:rPr>
        <w:t>.</w:t>
      </w:r>
    </w:p>
    <w:p w:rsidR="006D46D8" w:rsidRDefault="006D46D8" w:rsidP="006D46D8">
      <w:pPr>
        <w:pStyle w:val="21"/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1) </w:t>
      </w:r>
      <w:r w:rsidR="00CE7D8E" w:rsidRPr="00232A96">
        <w:rPr>
          <w:bCs/>
          <w:sz w:val="28"/>
          <w:szCs w:val="28"/>
          <w:lang w:val="kk-KZ"/>
        </w:rPr>
        <w:t>"Кибер қауіпсіздіктің құқықтық реттелуі</w:t>
      </w:r>
      <w:r w:rsidR="00CE7D8E" w:rsidRPr="00232A96">
        <w:rPr>
          <w:sz w:val="28"/>
          <w:szCs w:val="28"/>
          <w:lang w:val="kk-KZ"/>
        </w:rPr>
        <w:t>"  курсының пәні және әдістері.</w:t>
      </w:r>
      <w:r>
        <w:rPr>
          <w:sz w:val="28"/>
          <w:szCs w:val="28"/>
          <w:lang w:val="kk-KZ"/>
        </w:rPr>
        <w:t xml:space="preserve"> </w:t>
      </w:r>
    </w:p>
    <w:p w:rsidR="006D46D8" w:rsidRDefault="006D46D8" w:rsidP="006D46D8">
      <w:pPr>
        <w:pStyle w:val="21"/>
        <w:spacing w:after="0" w:line="240" w:lineRule="auto"/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="00CE7D8E" w:rsidRPr="00232A96">
        <w:rPr>
          <w:bCs/>
          <w:sz w:val="28"/>
          <w:szCs w:val="28"/>
          <w:lang w:val="kk-KZ"/>
        </w:rPr>
        <w:t>"Кибер қауіпсіздіктің құқықтық реттелуі</w:t>
      </w:r>
      <w:r w:rsidR="00CE7D8E" w:rsidRPr="00232A96">
        <w:rPr>
          <w:sz w:val="28"/>
          <w:szCs w:val="28"/>
          <w:lang w:val="kk-KZ"/>
        </w:rPr>
        <w:t>"  курсының мақсаты мен міндеттері.</w:t>
      </w:r>
      <w:r>
        <w:rPr>
          <w:b/>
          <w:bCs/>
          <w:sz w:val="28"/>
          <w:szCs w:val="28"/>
          <w:lang w:val="kk-KZ"/>
        </w:rPr>
        <w:t xml:space="preserve"> </w:t>
      </w:r>
    </w:p>
    <w:p w:rsidR="00CE7D8E" w:rsidRPr="006D46D8" w:rsidRDefault="006D46D8" w:rsidP="006D46D8">
      <w:pPr>
        <w:pStyle w:val="21"/>
        <w:spacing w:after="0" w:line="240" w:lineRule="auto"/>
        <w:ind w:firstLine="567"/>
        <w:jc w:val="both"/>
        <w:rPr>
          <w:sz w:val="28"/>
          <w:szCs w:val="28"/>
          <w:lang w:val="kk-KZ"/>
        </w:rPr>
      </w:pPr>
      <w:r w:rsidRPr="006D46D8">
        <w:rPr>
          <w:bCs/>
          <w:sz w:val="28"/>
          <w:szCs w:val="28"/>
          <w:lang w:val="kk-KZ"/>
        </w:rPr>
        <w:t>3)</w:t>
      </w:r>
      <w:r>
        <w:rPr>
          <w:b/>
          <w:bCs/>
          <w:sz w:val="28"/>
          <w:szCs w:val="28"/>
          <w:lang w:val="kk-KZ"/>
        </w:rPr>
        <w:t xml:space="preserve"> </w:t>
      </w:r>
      <w:r w:rsidR="00CE7D8E" w:rsidRPr="00232A96">
        <w:rPr>
          <w:bCs/>
          <w:sz w:val="28"/>
          <w:szCs w:val="28"/>
          <w:lang w:val="kk-KZ"/>
        </w:rPr>
        <w:t>Кибер қауіпсіздіктің құқықтық реттелуі</w:t>
      </w:r>
      <w:r w:rsidR="00CE7D8E" w:rsidRPr="00232A96">
        <w:rPr>
          <w:sz w:val="28"/>
          <w:szCs w:val="28"/>
          <w:lang w:val="kk-KZ"/>
        </w:rPr>
        <w:t>"  курсының жалпы сипаттамасы</w:t>
      </w:r>
      <w:r>
        <w:rPr>
          <w:sz w:val="28"/>
          <w:szCs w:val="28"/>
          <w:lang w:val="kk-KZ"/>
        </w:rPr>
        <w:t>.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2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ақырып. </w:t>
      </w:r>
      <w:r w:rsidR="00461EFD" w:rsidRPr="00232A96">
        <w:rPr>
          <w:rFonts w:ascii="Times New Roman" w:hAnsi="Times New Roman" w:cs="Times New Roman"/>
          <w:b/>
          <w:sz w:val="28"/>
          <w:szCs w:val="28"/>
          <w:lang w:val="kk-KZ"/>
        </w:rPr>
        <w:t>Қауіпсіздік тұжырымдамасы</w:t>
      </w:r>
    </w:p>
    <w:p w:rsidR="006D46D8" w:rsidRDefault="006D46D8" w:rsidP="006D46D8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 w:rsidR="00461EFD" w:rsidRPr="00232A96">
        <w:rPr>
          <w:sz w:val="28"/>
          <w:szCs w:val="28"/>
          <w:lang w:val="kk-KZ"/>
        </w:rPr>
        <w:t>Қауіпсіздіктің түсінігі және құқықтық мемлекеттің қалыптасуындағы рөлі.</w:t>
      </w:r>
      <w:r>
        <w:rPr>
          <w:sz w:val="28"/>
          <w:szCs w:val="28"/>
          <w:lang w:val="kk-KZ"/>
        </w:rPr>
        <w:t xml:space="preserve"> </w:t>
      </w:r>
    </w:p>
    <w:p w:rsidR="006D46D8" w:rsidRDefault="006D46D8" w:rsidP="006D46D8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2) </w:t>
      </w:r>
      <w:r w:rsidR="00461EFD" w:rsidRPr="00232A96">
        <w:rPr>
          <w:sz w:val="28"/>
          <w:szCs w:val="28"/>
          <w:lang w:val="kk-KZ"/>
        </w:rPr>
        <w:t>Қауіпсіздіктің түрлері</w:t>
      </w:r>
      <w:r>
        <w:rPr>
          <w:sz w:val="28"/>
          <w:szCs w:val="28"/>
          <w:lang w:val="kk-KZ"/>
        </w:rPr>
        <w:t xml:space="preserve">. </w:t>
      </w:r>
    </w:p>
    <w:p w:rsidR="00461EFD" w:rsidRPr="00232A96" w:rsidRDefault="006D46D8" w:rsidP="006D46D8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</w:t>
      </w:r>
      <w:r w:rsidR="00461EFD" w:rsidRPr="00232A96">
        <w:rPr>
          <w:sz w:val="28"/>
          <w:szCs w:val="28"/>
          <w:lang w:val="kk-KZ"/>
        </w:rPr>
        <w:t>Қауіпсіздік тұжырымдамасы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ақырып. </w:t>
      </w:r>
      <w:r w:rsidR="00461EFD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Кибер қауіпсіздіктің түсінігі және мазмұны</w:t>
      </w:r>
    </w:p>
    <w:p w:rsidR="00461EFD" w:rsidRPr="00232A96" w:rsidRDefault="00CE5FF8" w:rsidP="00232A9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1) </w:t>
      </w:r>
      <w:r w:rsidR="00461EFD" w:rsidRPr="00232A96">
        <w:rPr>
          <w:sz w:val="28"/>
          <w:szCs w:val="28"/>
          <w:lang w:val="kk-KZ"/>
        </w:rPr>
        <w:t>Киберқаупісзідктің түсінігі.</w:t>
      </w:r>
    </w:p>
    <w:p w:rsidR="00461EFD" w:rsidRPr="00232A96" w:rsidRDefault="00C80B92" w:rsidP="00232A9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2) </w:t>
      </w:r>
      <w:r w:rsidR="00461EFD" w:rsidRPr="00232A96">
        <w:rPr>
          <w:sz w:val="28"/>
          <w:szCs w:val="28"/>
          <w:lang w:val="kk-KZ"/>
        </w:rPr>
        <w:t>Кибер қауіпсіздіктің маңызы</w:t>
      </w:r>
    </w:p>
    <w:p w:rsidR="00461EFD" w:rsidRPr="00232A96" w:rsidRDefault="00EF60E6" w:rsidP="00232A9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232A96">
        <w:rPr>
          <w:rFonts w:eastAsia="??"/>
          <w:sz w:val="28"/>
          <w:szCs w:val="28"/>
          <w:lang w:val="kk-KZ" w:eastAsia="ko-KR"/>
        </w:rPr>
        <w:t>3) К</w:t>
      </w:r>
      <w:r w:rsidR="00461EFD" w:rsidRPr="00232A96">
        <w:rPr>
          <w:rFonts w:eastAsia="??"/>
          <w:sz w:val="28"/>
          <w:szCs w:val="28"/>
          <w:lang w:val="kk-KZ" w:eastAsia="ko-KR"/>
        </w:rPr>
        <w:t>ибер қауіпсізідіктің мазмұны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4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ақыры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п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83417D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Кибер қауіпсіздіктің қамтамасыз етілуінің құқықтық негіздері.</w:t>
      </w:r>
    </w:p>
    <w:p w:rsidR="0083417D" w:rsidRPr="00232A96" w:rsidRDefault="002A586F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1)</w:t>
      </w:r>
      <w:r w:rsidR="00EF60E6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="0083417D"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ауіпсіздіктің қамтамасыз етілуін реттейтін заңдар </w:t>
      </w:r>
    </w:p>
    <w:p w:rsidR="0083417D" w:rsidRPr="00232A96" w:rsidRDefault="002A586F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EF60E6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К</w:t>
      </w:r>
      <w:r w:rsidR="0083417D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ибер қауіпсіздіктің қамтамасыз етілуін реттейтін өзге де актілер</w:t>
      </w:r>
    </w:p>
    <w:p w:rsidR="0083417D" w:rsidRPr="00232A96" w:rsidRDefault="002A586F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="0083417D"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Кибер қауіпсіздікті реттеуге бағытталлған халықаралық құжаттар 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5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ақырып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83417D" w:rsidRPr="00232A96">
        <w:rPr>
          <w:rFonts w:ascii="Times New Roman" w:hAnsi="Times New Roman" w:cs="Times New Roman"/>
          <w:b/>
          <w:sz w:val="28"/>
          <w:szCs w:val="28"/>
          <w:lang w:val="kk-KZ"/>
        </w:rPr>
        <w:t>Қауіпсіздікті қамтамасыз етудегі Қазақстан Республикасының Конституциясының рөлі</w:t>
      </w:r>
    </w:p>
    <w:p w:rsidR="0083417D" w:rsidRPr="00232A96" w:rsidRDefault="00CE5FF8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1) </w:t>
      </w:r>
      <w:r w:rsidR="0083417D" w:rsidRPr="00232A96">
        <w:rPr>
          <w:sz w:val="28"/>
          <w:szCs w:val="28"/>
          <w:lang w:val="kk-KZ"/>
        </w:rPr>
        <w:t xml:space="preserve">Қазақстан Республикасының Конституциясы қауіпсіздік жүйелерін құруға негіз ретінде. </w:t>
      </w:r>
    </w:p>
    <w:p w:rsidR="0083417D" w:rsidRPr="00232A96" w:rsidRDefault="002A586F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2) </w:t>
      </w:r>
      <w:r w:rsidR="0083417D" w:rsidRPr="00232A96">
        <w:rPr>
          <w:sz w:val="28"/>
          <w:szCs w:val="28"/>
          <w:lang w:val="kk-KZ"/>
        </w:rPr>
        <w:t xml:space="preserve">Қазақстан Республикасының ұлттық мүдделерін ашу </w:t>
      </w:r>
    </w:p>
    <w:p w:rsidR="0083417D" w:rsidRPr="00232A96" w:rsidRDefault="002A586F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3) </w:t>
      </w:r>
      <w:r w:rsidR="0083417D" w:rsidRPr="00232A96">
        <w:rPr>
          <w:sz w:val="28"/>
          <w:szCs w:val="28"/>
          <w:lang w:val="kk-KZ"/>
        </w:rPr>
        <w:t>Ұлттық мүдделердің ҚР Конституциясында бекітілуі</w:t>
      </w:r>
    </w:p>
    <w:p w:rsidR="00CE5FF8" w:rsidRPr="00232A96" w:rsidRDefault="002A586F" w:rsidP="00232A96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4) </w:t>
      </w:r>
      <w:r w:rsidR="0083417D" w:rsidRPr="00232A96">
        <w:rPr>
          <w:sz w:val="28"/>
          <w:szCs w:val="28"/>
          <w:lang w:val="kk-KZ"/>
        </w:rPr>
        <w:t>Ұлттық мүдделердің қамтамасыз етілуі</w:t>
      </w:r>
    </w:p>
    <w:p w:rsidR="0083417D" w:rsidRPr="00232A96" w:rsidRDefault="0083417D" w:rsidP="00232A96">
      <w:pPr>
        <w:pStyle w:val="a5"/>
        <w:spacing w:after="0"/>
        <w:ind w:firstLine="567"/>
        <w:jc w:val="both"/>
        <w:rPr>
          <w:b/>
          <w:bCs/>
          <w:sz w:val="28"/>
          <w:szCs w:val="28"/>
          <w:lang w:val="kk-KZ" w:eastAsia="ko-KR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6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ақырып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83417D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Республикасында қауіпсіздікті қамтамасыз ететін мемлекеттік органдар жүйесі.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E5FF8" w:rsidRPr="00232A96" w:rsidRDefault="005030DB" w:rsidP="00232A96">
      <w:pPr>
        <w:pStyle w:val="a5"/>
        <w:spacing w:after="0"/>
        <w:ind w:firstLine="567"/>
        <w:jc w:val="both"/>
        <w:rPr>
          <w:bCs/>
          <w:sz w:val="28"/>
          <w:szCs w:val="28"/>
          <w:lang w:val="kk-KZ"/>
        </w:rPr>
      </w:pPr>
      <w:r w:rsidRPr="00232A96">
        <w:rPr>
          <w:bCs/>
          <w:sz w:val="28"/>
          <w:szCs w:val="28"/>
          <w:lang w:val="kk-KZ"/>
        </w:rPr>
        <w:t>1</w:t>
      </w:r>
      <w:r w:rsidR="00926130" w:rsidRPr="00232A96">
        <w:rPr>
          <w:bCs/>
          <w:sz w:val="28"/>
          <w:szCs w:val="28"/>
          <w:lang w:val="kk-KZ"/>
        </w:rPr>
        <w:t>)Қ</w:t>
      </w:r>
      <w:r w:rsidRPr="00232A96">
        <w:rPr>
          <w:bCs/>
          <w:sz w:val="28"/>
          <w:szCs w:val="28"/>
          <w:lang w:val="kk-KZ"/>
        </w:rPr>
        <w:t>ауіпсіздікті қамтамасыз ететін мемлекеттік оргнадардың қызметінің ерекшеліктері</w:t>
      </w:r>
    </w:p>
    <w:p w:rsidR="005030DB" w:rsidRPr="00232A96" w:rsidRDefault="005030DB" w:rsidP="00232A96">
      <w:pPr>
        <w:pStyle w:val="a5"/>
        <w:spacing w:after="0"/>
        <w:ind w:firstLine="567"/>
        <w:jc w:val="both"/>
        <w:rPr>
          <w:bCs/>
          <w:sz w:val="28"/>
          <w:szCs w:val="28"/>
          <w:lang w:val="kk-KZ"/>
        </w:rPr>
      </w:pPr>
      <w:r w:rsidRPr="00232A96">
        <w:rPr>
          <w:bCs/>
          <w:sz w:val="28"/>
          <w:szCs w:val="28"/>
          <w:lang w:val="kk-KZ"/>
        </w:rPr>
        <w:t>2Қарсы барлпау қызметі</w:t>
      </w:r>
    </w:p>
    <w:p w:rsidR="005030DB" w:rsidRPr="00232A96" w:rsidRDefault="005030DB" w:rsidP="00232A96">
      <w:pPr>
        <w:pStyle w:val="a5"/>
        <w:spacing w:after="0"/>
        <w:ind w:firstLine="567"/>
        <w:jc w:val="both"/>
        <w:rPr>
          <w:bCs/>
          <w:sz w:val="28"/>
          <w:szCs w:val="28"/>
          <w:lang w:val="kk-KZ"/>
        </w:rPr>
      </w:pPr>
      <w:r w:rsidRPr="00232A96">
        <w:rPr>
          <w:bCs/>
          <w:sz w:val="28"/>
          <w:szCs w:val="28"/>
          <w:lang w:val="kk-KZ"/>
        </w:rPr>
        <w:t>3Сыртқы барлау қызметі</w:t>
      </w:r>
    </w:p>
    <w:p w:rsidR="005030DB" w:rsidRPr="00232A96" w:rsidRDefault="005030DB" w:rsidP="00232A96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lastRenderedPageBreak/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ақырып. </w:t>
      </w:r>
      <w:r w:rsidR="005030DB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Республикасында Ұлттық қауіпсіздік комитетінің құзыреті. ҚР Қауіпсіздік Кеңесінің құзыреті, атқарушы билік және сот билігінің құзыреті.</w:t>
      </w:r>
    </w:p>
    <w:p w:rsidR="005030DB" w:rsidRPr="00232A96" w:rsidRDefault="00CE5FF8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1) </w:t>
      </w:r>
      <w:r w:rsidR="005030DB" w:rsidRPr="00232A96">
        <w:rPr>
          <w:sz w:val="28"/>
          <w:szCs w:val="28"/>
          <w:lang w:val="kk-KZ"/>
        </w:rPr>
        <w:t>Құқық қорғаушы органдардың қызметі</w:t>
      </w:r>
    </w:p>
    <w:p w:rsidR="005030DB" w:rsidRPr="00232A96" w:rsidRDefault="00926130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2) </w:t>
      </w:r>
      <w:r w:rsidR="005030DB" w:rsidRPr="00232A96">
        <w:rPr>
          <w:sz w:val="28"/>
          <w:szCs w:val="28"/>
          <w:lang w:val="kk-KZ"/>
        </w:rPr>
        <w:t>Қауіпсіздікті қамтамасыз ететін субъектілер</w:t>
      </w:r>
    </w:p>
    <w:p w:rsidR="005030DB" w:rsidRPr="00232A96" w:rsidRDefault="00926130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bCs/>
          <w:sz w:val="28"/>
          <w:szCs w:val="28"/>
          <w:lang w:val="kk-KZ"/>
        </w:rPr>
        <w:t xml:space="preserve">3) </w:t>
      </w:r>
      <w:r w:rsidR="005030DB" w:rsidRPr="00232A96">
        <w:rPr>
          <w:bCs/>
          <w:sz w:val="28"/>
          <w:szCs w:val="28"/>
          <w:lang w:val="kk-KZ"/>
        </w:rPr>
        <w:t>Ұлттық қауіпсіздік комитетінің құзыреті</w:t>
      </w:r>
    </w:p>
    <w:p w:rsidR="005030DB" w:rsidRPr="00232A96" w:rsidRDefault="00926130" w:rsidP="00232A96">
      <w:pPr>
        <w:pStyle w:val="a5"/>
        <w:spacing w:after="0"/>
        <w:ind w:firstLine="567"/>
        <w:jc w:val="both"/>
        <w:rPr>
          <w:bCs/>
          <w:sz w:val="28"/>
          <w:szCs w:val="28"/>
          <w:lang w:val="kk-KZ"/>
        </w:rPr>
      </w:pPr>
      <w:r w:rsidRPr="00232A96">
        <w:rPr>
          <w:bCs/>
          <w:sz w:val="28"/>
          <w:szCs w:val="28"/>
          <w:lang w:val="kk-KZ"/>
        </w:rPr>
        <w:t xml:space="preserve">4) </w:t>
      </w:r>
      <w:r w:rsidR="005030DB" w:rsidRPr="00232A96">
        <w:rPr>
          <w:bCs/>
          <w:sz w:val="28"/>
          <w:szCs w:val="28"/>
          <w:lang w:val="kk-KZ"/>
        </w:rPr>
        <w:t>ҚР Қауіпсіздік Кеңесінің құзыреті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6D46D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ақырып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5030DB" w:rsidRPr="00232A96">
        <w:rPr>
          <w:rFonts w:ascii="Times New Roman" w:hAnsi="Times New Roman" w:cs="Times New Roman"/>
          <w:b/>
          <w:sz w:val="28"/>
          <w:szCs w:val="28"/>
          <w:lang w:val="kk-KZ"/>
        </w:rPr>
        <w:t>ҚР ұлттық қауіпсіздігін қамтамасыз етудің конституциялық-құқықтық қағидалары</w:t>
      </w:r>
    </w:p>
    <w:p w:rsidR="00CC717E" w:rsidRPr="00232A96" w:rsidRDefault="00CE5FF8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1) </w:t>
      </w:r>
      <w:r w:rsidR="00CC717E" w:rsidRPr="00232A96">
        <w:rPr>
          <w:sz w:val="28"/>
          <w:szCs w:val="28"/>
          <w:lang w:val="kk-KZ"/>
        </w:rPr>
        <w:t xml:space="preserve">ҚР ұлттық қауіпсіздіктің түсінігі және түрлері </w:t>
      </w:r>
    </w:p>
    <w:p w:rsidR="00CC717E" w:rsidRPr="00232A96" w:rsidRDefault="00926130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2) </w:t>
      </w:r>
      <w:r w:rsidR="00CC717E" w:rsidRPr="00232A96">
        <w:rPr>
          <w:sz w:val="28"/>
          <w:szCs w:val="28"/>
          <w:lang w:val="kk-KZ"/>
        </w:rPr>
        <w:t>Ұлттық қауіпсіздіктің ҚР Конституциясында бекітілуі</w:t>
      </w:r>
    </w:p>
    <w:p w:rsidR="00CC717E" w:rsidRPr="00232A96" w:rsidRDefault="00926130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 xml:space="preserve">3) </w:t>
      </w:r>
      <w:r w:rsidR="00CC717E" w:rsidRPr="00232A96">
        <w:rPr>
          <w:sz w:val="28"/>
          <w:szCs w:val="28"/>
          <w:lang w:val="kk-KZ"/>
        </w:rPr>
        <w:t>Ұлттық қауіпсіздіктің қамтамасыз етілуінің конституциялық-құқықтық қағидалары</w:t>
      </w:r>
    </w:p>
    <w:p w:rsidR="00CC717E" w:rsidRPr="00232A96" w:rsidRDefault="00CC717E" w:rsidP="00232A96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627F5C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ақырып. </w:t>
      </w:r>
      <w:r w:rsidR="00CC717E" w:rsidRPr="00232A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ұлттық қауіпсіздікті қамтамасыз етудің негізгі бағыттары</w:t>
      </w:r>
    </w:p>
    <w:p w:rsidR="00CC717E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CC717E" w:rsidRPr="00232A9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ұлттық қауіпсіздікті қамтамасыз етудің негізгі бағыттары</w:t>
      </w:r>
    </w:p>
    <w:p w:rsidR="00CC717E" w:rsidRPr="00232A96" w:rsidRDefault="00903954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CC717E" w:rsidRPr="00232A9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ұлттық қауіпсіздікті қамтамасыз ету органдарының қызметі</w:t>
      </w:r>
    </w:p>
    <w:p w:rsidR="00CC717E" w:rsidRPr="00232A96" w:rsidRDefault="00903954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CC717E" w:rsidRPr="00232A9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ұлттық қауіпсіздікті қамтамасыз етудегі мемлекеттің функциясы</w:t>
      </w:r>
    </w:p>
    <w:p w:rsidR="00CE5FF8" w:rsidRPr="00232A96" w:rsidRDefault="00CE5FF8" w:rsidP="00232A96">
      <w:pPr>
        <w:pStyle w:val="21"/>
        <w:spacing w:after="0" w:line="240" w:lineRule="auto"/>
        <w:ind w:firstLine="567"/>
        <w:jc w:val="center"/>
        <w:rPr>
          <w:sz w:val="28"/>
          <w:szCs w:val="28"/>
          <w:lang w:val="kk-KZ"/>
        </w:rPr>
      </w:pPr>
    </w:p>
    <w:p w:rsidR="00964EDC" w:rsidRPr="00232A96" w:rsidRDefault="000E59F4" w:rsidP="00232A96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10 т</w:t>
      </w:r>
      <w:r w:rsidR="00CE5FF8" w:rsidRPr="00232A96">
        <w:rPr>
          <w:b/>
          <w:bCs/>
          <w:sz w:val="28"/>
          <w:szCs w:val="28"/>
          <w:lang w:val="kk-KZ" w:eastAsia="ko-KR"/>
        </w:rPr>
        <w:t xml:space="preserve">ақырып. </w:t>
      </w:r>
      <w:r w:rsidR="00964EDC" w:rsidRPr="00232A96">
        <w:rPr>
          <w:b/>
          <w:sz w:val="28"/>
          <w:szCs w:val="28"/>
          <w:lang w:val="kk-KZ"/>
        </w:rPr>
        <w:t xml:space="preserve">Қазақстан Республикасының ұлттық қауіпсіздік органдарының қызметі </w:t>
      </w:r>
    </w:p>
    <w:p w:rsidR="00964EDC" w:rsidRPr="00232A96" w:rsidRDefault="00964EDC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>1) Ұлттық қауіпсіздік органдарының қызметі</w:t>
      </w:r>
    </w:p>
    <w:p w:rsidR="00964EDC" w:rsidRPr="00232A96" w:rsidRDefault="00964EDC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>2) Ұлттық қауіпсіздік органдарының құзыреті</w:t>
      </w:r>
    </w:p>
    <w:p w:rsidR="00964EDC" w:rsidRPr="00232A96" w:rsidRDefault="00964EDC" w:rsidP="00232A96">
      <w:pPr>
        <w:pStyle w:val="2"/>
        <w:spacing w:after="0" w:line="240" w:lineRule="auto"/>
        <w:ind w:left="0" w:firstLine="567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/>
        </w:rPr>
        <w:t>3) қауіпсіздік органдарының қызметі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CE5FF8" w:rsidRPr="00232A96" w:rsidRDefault="000E59F4" w:rsidP="00232A96">
      <w:pPr>
        <w:pStyle w:val="1"/>
        <w:ind w:firstLine="567"/>
        <w:jc w:val="both"/>
        <w:rPr>
          <w:szCs w:val="28"/>
          <w:lang w:val="kk-KZ"/>
        </w:rPr>
      </w:pPr>
      <w:r>
        <w:rPr>
          <w:bCs w:val="0"/>
          <w:szCs w:val="28"/>
          <w:lang w:val="kk-KZ" w:eastAsia="ko-KR"/>
        </w:rPr>
        <w:t>11 т</w:t>
      </w:r>
      <w:r w:rsidR="00CE5FF8" w:rsidRPr="00232A96">
        <w:rPr>
          <w:bCs w:val="0"/>
          <w:szCs w:val="28"/>
          <w:lang w:val="kk-KZ" w:eastAsia="ko-KR"/>
        </w:rPr>
        <w:t>ақырып</w:t>
      </w:r>
      <w:r w:rsidR="00CE5FF8" w:rsidRPr="00232A96">
        <w:rPr>
          <w:bCs w:val="0"/>
          <w:szCs w:val="28"/>
          <w:lang w:val="kk-KZ"/>
        </w:rPr>
        <w:t xml:space="preserve">. </w:t>
      </w:r>
      <w:r w:rsidR="00964EDC" w:rsidRPr="00232A96">
        <w:rPr>
          <w:szCs w:val="28"/>
          <w:lang w:val="kk-KZ"/>
        </w:rPr>
        <w:t>Ұлттық қауіпсіздікке төнетін қауіп-қатерлер</w:t>
      </w:r>
    </w:p>
    <w:p w:rsidR="00964EDC" w:rsidRPr="00232A96" w:rsidRDefault="00964EDC" w:rsidP="00232A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ұлттық қауіпсіздік төнетін қауіптерді ашу</w:t>
      </w:r>
    </w:p>
    <w:p w:rsidR="00964EDC" w:rsidRPr="00232A96" w:rsidRDefault="00964EDC" w:rsidP="00232A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Сыртқы қуіпсіздікті құқықтық қамтамасыз ету</w:t>
      </w:r>
    </w:p>
    <w:p w:rsidR="00964EDC" w:rsidRPr="00232A96" w:rsidRDefault="00964EDC" w:rsidP="00232A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Барлау және контр барлау қызметі</w:t>
      </w:r>
    </w:p>
    <w:p w:rsidR="00CE5FF8" w:rsidRPr="00232A96" w:rsidRDefault="00964EDC" w:rsidP="00232A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>Сыртқы барлау органдары</w:t>
      </w:r>
    </w:p>
    <w:p w:rsidR="00CE5FF8" w:rsidRPr="00232A96" w:rsidRDefault="00CE5FF8" w:rsidP="00232A96">
      <w:pPr>
        <w:pStyle w:val="21"/>
        <w:spacing w:after="0" w:line="240" w:lineRule="auto"/>
        <w:ind w:firstLine="567"/>
        <w:jc w:val="center"/>
        <w:rPr>
          <w:sz w:val="28"/>
          <w:szCs w:val="28"/>
        </w:rPr>
      </w:pPr>
    </w:p>
    <w:p w:rsidR="00CE5FF8" w:rsidRPr="00232A96" w:rsidRDefault="000E59F4" w:rsidP="00232A96">
      <w:pPr>
        <w:pStyle w:val="a5"/>
        <w:spacing w:after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12 т</w:t>
      </w:r>
      <w:r w:rsidR="00CE5FF8" w:rsidRPr="00232A96">
        <w:rPr>
          <w:b/>
          <w:bCs/>
          <w:sz w:val="28"/>
          <w:szCs w:val="28"/>
          <w:lang w:val="kk-KZ" w:eastAsia="ko-KR"/>
        </w:rPr>
        <w:t>ақырып</w:t>
      </w:r>
      <w:r w:rsidR="00CE5FF8" w:rsidRPr="00232A96">
        <w:rPr>
          <w:b/>
          <w:bCs/>
          <w:sz w:val="28"/>
          <w:szCs w:val="28"/>
          <w:lang w:val="kk-KZ"/>
        </w:rPr>
        <w:t xml:space="preserve">. </w:t>
      </w:r>
      <w:r w:rsidR="008E1ED9" w:rsidRPr="00232A96">
        <w:rPr>
          <w:b/>
          <w:sz w:val="28"/>
          <w:szCs w:val="28"/>
          <w:lang w:val="kk-KZ"/>
        </w:rPr>
        <w:t>Ақпараттық құқық және ақпараттық қауіпсіздік</w:t>
      </w:r>
    </w:p>
    <w:p w:rsidR="008E1ED9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A6745" w:rsidRPr="00232A96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E1ED9" w:rsidRPr="00232A9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Ақпараттық құқықтың түсінігі, принциптері.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2) </w:t>
      </w:r>
      <w:r w:rsidR="008E1ED9" w:rsidRPr="00232A96">
        <w:rPr>
          <w:rFonts w:ascii="Times New Roman" w:hAnsi="Times New Roman" w:cs="Times New Roman"/>
          <w:sz w:val="28"/>
          <w:szCs w:val="28"/>
          <w:lang w:val="kk-KZ" w:eastAsia="ko-KR"/>
        </w:rPr>
        <w:t>Ақпараттық қауіпсіздік түсінігі және мазмұны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3) </w:t>
      </w:r>
      <w:r w:rsidR="008E1ED9" w:rsidRPr="00232A96">
        <w:rPr>
          <w:rFonts w:ascii="Times New Roman" w:hAnsi="Times New Roman" w:cs="Times New Roman"/>
          <w:sz w:val="28"/>
          <w:szCs w:val="28"/>
          <w:lang w:val="kk-KZ" w:eastAsia="ko-KR"/>
        </w:rPr>
        <w:t>Ақпараттық қауіпсіздіктің қамтамасыз етілу жолдары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CE5FF8" w:rsidRPr="00232A96" w:rsidRDefault="000E59F4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13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ақырып. </w:t>
      </w:r>
      <w:r w:rsidR="008E1ED9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Шет мемлекеттерде қауіпсіздіктің және кибер қауіпсіздіктің қамтамасыз етілуінің құқықтық реттелуі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1)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Шет елдерде қауіпсіздік қамтамасыз ету жолдары мен бағыттары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Шет елдерде кибер қауіпсіздікті қамтамасыз етудің құқықтық негіздері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Шет елдерде кибер қауіпсіздікті қамтамасыз етудің механизмдері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8E1ED9" w:rsidRPr="00232A96" w:rsidRDefault="000E59F4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14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 xml:space="preserve">ақырып. </w:t>
      </w:r>
      <w:r w:rsidR="008E1ED9" w:rsidRPr="00232A96">
        <w:rPr>
          <w:rFonts w:ascii="Times New Roman" w:hAnsi="Times New Roman" w:cs="Times New Roman"/>
          <w:b/>
          <w:sz w:val="28"/>
          <w:szCs w:val="28"/>
          <w:lang w:val="kk-KZ"/>
        </w:rPr>
        <w:t>Кибер қауіпсіздік саласындағы әкімшілік құқық бұзушылық және әкімшілік жауаптылық</w:t>
      </w:r>
      <w:r w:rsidR="008E1ED9"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құқық бұзушылықтар саласындағы әкімшілік құқық бұзушылықтардың түсінігі және түрлері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 саласындағы әкімшілік құқық бұзушылықтар үшін заңды жауаптылықтың түсінігі және түрлері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 саласындағы әкімшілік құқық бұзушылықтар үшін заңды жауаптылықтың құрамы</w:t>
      </w:r>
    </w:p>
    <w:p w:rsidR="00CE5FF8" w:rsidRPr="00232A96" w:rsidRDefault="00CE5FF8" w:rsidP="00232A96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E5FF8" w:rsidRPr="00232A96" w:rsidRDefault="00A923B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15 т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ақырып.</w:t>
      </w:r>
      <w:r w:rsidR="00CE5FF8" w:rsidRPr="00232A9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E1ED9" w:rsidRPr="00232A96">
        <w:rPr>
          <w:rFonts w:ascii="Times New Roman" w:hAnsi="Times New Roman" w:cs="Times New Roman"/>
          <w:b/>
          <w:sz w:val="28"/>
          <w:szCs w:val="28"/>
          <w:lang w:val="kk-KZ"/>
        </w:rPr>
        <w:t>Кибер қауіпсіздік саласындағы қылмыстық құқық бұзушылық және қылмыстық жауаптылық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құқық бұзушылықтар саласындағы қылмыстық құқық бұзушылықтардың түсінігі және түрлері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 саласындағы қылмыстық құқық бұзушылықтар үшін заңды жауаптылықтың түсінігі және түрлері</w:t>
      </w:r>
    </w:p>
    <w:p w:rsidR="008E1ED9" w:rsidRPr="00232A96" w:rsidRDefault="009A6745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</w:t>
      </w:r>
      <w:r w:rsidR="008E1ED9" w:rsidRPr="00232A96">
        <w:rPr>
          <w:rFonts w:ascii="Times New Roman" w:hAnsi="Times New Roman" w:cs="Times New Roman"/>
          <w:bCs/>
          <w:sz w:val="28"/>
          <w:szCs w:val="28"/>
          <w:lang w:val="kk-KZ"/>
        </w:rPr>
        <w:t>Ақпарат саласындағы қылмыстық құқық бұзушылықтар үшін заңды жауаптылықтың құрамы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5FF8" w:rsidRPr="00232A96" w:rsidRDefault="00CE5FF8" w:rsidP="00232A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 xml:space="preserve">1. Сапаргалиев Г.С. Ибраева А.С.  Мемлекет және құқық теориясы. Астана, Фолиант баспасы 2015. – 312 б. </w:t>
      </w:r>
    </w:p>
    <w:p w:rsidR="00CE5FF8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sz w:val="28"/>
          <w:szCs w:val="28"/>
          <w:lang w:val="kk-KZ"/>
        </w:rPr>
        <w:t>2. Құрастырушылар авторлар коллективі. Мемлекет және құқық теориясының хрестоматиясы. І том. Алматы, ТОО «KazBookTrade» баспасы 2015. – 690 б.</w:t>
      </w:r>
      <w:r w:rsidRPr="00232A96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</w:t>
      </w:r>
    </w:p>
    <w:p w:rsidR="00B70106" w:rsidRPr="00232A96" w:rsidRDefault="00CE5FF8" w:rsidP="00232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2A9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3. </w:t>
      </w:r>
      <w:r w:rsidR="00B70106" w:rsidRPr="00232A96">
        <w:rPr>
          <w:rFonts w:ascii="Times New Roman" w:hAnsi="Times New Roman" w:cs="Times New Roman"/>
          <w:sz w:val="28"/>
          <w:szCs w:val="28"/>
          <w:lang w:val="kk-KZ"/>
        </w:rPr>
        <w:t>Байкенжеев А.С. Конституционно-правовые основы обеспечения национальной безопасности. – Алматы, 2017. – 215 с</w:t>
      </w:r>
      <w:r w:rsidR="00B70106" w:rsidRPr="00232A96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</w:t>
      </w:r>
    </w:p>
    <w:p w:rsidR="009C3729" w:rsidRPr="00232A96" w:rsidRDefault="00CE5FF8" w:rsidP="00232A96">
      <w:pPr>
        <w:pStyle w:val="a5"/>
        <w:spacing w:after="0"/>
        <w:ind w:firstLine="567"/>
        <w:jc w:val="both"/>
        <w:rPr>
          <w:sz w:val="28"/>
          <w:szCs w:val="28"/>
          <w:lang w:val="kk-KZ"/>
        </w:rPr>
      </w:pPr>
      <w:r w:rsidRPr="00232A96">
        <w:rPr>
          <w:sz w:val="28"/>
          <w:szCs w:val="28"/>
          <w:lang w:val="kk-KZ" w:eastAsia="ko-KR"/>
        </w:rPr>
        <w:t xml:space="preserve">4. </w:t>
      </w:r>
      <w:r w:rsidR="00B70106" w:rsidRPr="00232A96">
        <w:rPr>
          <w:sz w:val="28"/>
          <w:szCs w:val="28"/>
          <w:lang w:val="kk-KZ"/>
        </w:rPr>
        <w:t>Жатканбаева А.Е. Теоретико-правовые основы обеспечения информационной безопасности. – Алматы, 2015. – 312 с.</w:t>
      </w:r>
      <w:r w:rsidR="00227D74" w:rsidRPr="00232A96">
        <w:rPr>
          <w:bCs/>
          <w:sz w:val="28"/>
          <w:szCs w:val="28"/>
          <w:lang w:val="kk-KZ"/>
        </w:rPr>
        <w:t xml:space="preserve"> </w:t>
      </w:r>
    </w:p>
    <w:p w:rsidR="00CE5FF8" w:rsidRDefault="00B70106" w:rsidP="00232A9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 w:eastAsia="ko-KR"/>
        </w:rPr>
      </w:pPr>
      <w:r w:rsidRPr="00232A96">
        <w:rPr>
          <w:sz w:val="28"/>
          <w:szCs w:val="28"/>
          <w:lang w:val="kk-KZ" w:eastAsia="ko-KR"/>
        </w:rPr>
        <w:t>5. Каратаева А.М.</w:t>
      </w:r>
      <w:r w:rsidR="00CE5FF8" w:rsidRPr="00232A96">
        <w:rPr>
          <w:sz w:val="28"/>
          <w:szCs w:val="28"/>
          <w:lang w:val="kk-KZ" w:eastAsia="ko-KR"/>
        </w:rPr>
        <w:t xml:space="preserve"> </w:t>
      </w:r>
      <w:r w:rsidRPr="00232A96">
        <w:rPr>
          <w:sz w:val="28"/>
          <w:szCs w:val="28"/>
          <w:lang w:val="kk-KZ" w:eastAsia="ko-KR"/>
        </w:rPr>
        <w:t>Қазіргі кезеңді мемлекеттің функциясы. – Алматы, 2017</w:t>
      </w:r>
      <w:r w:rsidR="00CE5FF8" w:rsidRPr="00232A96">
        <w:rPr>
          <w:sz w:val="28"/>
          <w:szCs w:val="28"/>
          <w:lang w:val="kk-KZ" w:eastAsia="ko-KR"/>
        </w:rPr>
        <w:t>.</w:t>
      </w:r>
      <w:r w:rsidRPr="00232A96">
        <w:rPr>
          <w:sz w:val="28"/>
          <w:szCs w:val="28"/>
          <w:lang w:val="kk-KZ" w:eastAsia="ko-KR"/>
        </w:rPr>
        <w:t xml:space="preserve"> – 90 с.</w:t>
      </w:r>
      <w:r w:rsidR="00CE5FF8" w:rsidRPr="00232A96">
        <w:rPr>
          <w:sz w:val="28"/>
          <w:szCs w:val="28"/>
          <w:lang w:val="kk-KZ" w:eastAsia="ko-KR"/>
        </w:rPr>
        <w:t xml:space="preserve"> </w:t>
      </w:r>
    </w:p>
    <w:p w:rsidR="00A923B8" w:rsidRPr="00232A96" w:rsidRDefault="00A923B8" w:rsidP="00232A9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>6 Усеинова Г.Р., Ибраева А.С., Алауханов Е.О., Оспанова Д.А., Усеинова К.Р., Касымжанова А.А. Основы правового регулирования кибербезопасности в РК: учебное пособие. – Алматы: Қазақ университеті, 2019. – 96 с.</w:t>
      </w:r>
    </w:p>
    <w:p w:rsidR="00713C28" w:rsidRPr="00A923B8" w:rsidRDefault="00713C28" w:rsidP="00232A96">
      <w:pPr>
        <w:pStyle w:val="c2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sectPr w:rsidR="00713C28" w:rsidRPr="00A923B8" w:rsidSect="00AC4F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469" w:rsidRDefault="008C6469" w:rsidP="00865899">
      <w:pPr>
        <w:spacing w:after="0" w:line="240" w:lineRule="auto"/>
      </w:pPr>
      <w:r>
        <w:separator/>
      </w:r>
    </w:p>
  </w:endnote>
  <w:endnote w:type="continuationSeparator" w:id="0">
    <w:p w:rsidR="008C6469" w:rsidRDefault="008C6469" w:rsidP="0086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469" w:rsidRDefault="008C6469" w:rsidP="00865899">
      <w:pPr>
        <w:spacing w:after="0" w:line="240" w:lineRule="auto"/>
      </w:pPr>
      <w:r>
        <w:separator/>
      </w:r>
    </w:p>
  </w:footnote>
  <w:footnote w:type="continuationSeparator" w:id="0">
    <w:p w:rsidR="008C6469" w:rsidRDefault="008C6469" w:rsidP="0086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899" w:rsidRPr="00FC35EB" w:rsidRDefault="00865899" w:rsidP="00865899">
    <w:pPr>
      <w:pStyle w:val="a8"/>
      <w:jc w:val="center"/>
      <w:rPr>
        <w:rFonts w:ascii="Times New Roman" w:hAnsi="Times New Roman" w:cs="Times New Roman"/>
      </w:rPr>
    </w:pPr>
    <w:r w:rsidRPr="00FC35EB">
      <w:rPr>
        <w:rFonts w:ascii="Times New Roman" w:hAnsi="Times New Roman" w:cs="Times New Roman"/>
        <w:lang w:val="kk-KZ"/>
      </w:rPr>
      <w:t xml:space="preserve">Әл-Фараби атындағы ҚазҰУ Оқу-әдістемелік кешені                           </w:t>
    </w:r>
    <w:r w:rsidR="00AC4F24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PAGE </w:instrText>
    </w:r>
    <w:r w:rsidR="00AC4F24" w:rsidRPr="00FC35EB">
      <w:rPr>
        <w:rFonts w:ascii="Times New Roman" w:hAnsi="Times New Roman" w:cs="Times New Roman"/>
        <w:noProof/>
      </w:rPr>
      <w:fldChar w:fldCharType="separate"/>
    </w:r>
    <w:r w:rsidR="00186E50">
      <w:rPr>
        <w:rFonts w:ascii="Times New Roman" w:hAnsi="Times New Roman" w:cs="Times New Roman"/>
        <w:noProof/>
      </w:rPr>
      <w:t>3</w:t>
    </w:r>
    <w:r w:rsidR="00AC4F24" w:rsidRPr="00FC35EB">
      <w:rPr>
        <w:rFonts w:ascii="Times New Roman" w:hAnsi="Times New Roman" w:cs="Times New Roman"/>
        <w:noProof/>
      </w:rPr>
      <w:fldChar w:fldCharType="end"/>
    </w:r>
    <w:r w:rsidRPr="00FC35EB">
      <w:rPr>
        <w:rFonts w:ascii="Times New Roman" w:hAnsi="Times New Roman" w:cs="Times New Roman"/>
        <w:noProof/>
        <w:lang w:val="kk-KZ"/>
      </w:rPr>
      <w:t xml:space="preserve"> бет</w:t>
    </w:r>
    <w:r w:rsidRPr="00FC35EB">
      <w:rPr>
        <w:rFonts w:ascii="Times New Roman" w:hAnsi="Times New Roman" w:cs="Times New Roman"/>
      </w:rPr>
      <w:t xml:space="preserve"> </w:t>
    </w:r>
    <w:r w:rsidRPr="00FC35EB">
      <w:rPr>
        <w:rFonts w:ascii="Times New Roman" w:hAnsi="Times New Roman" w:cs="Times New Roman"/>
        <w:lang w:val="kk-KZ"/>
      </w:rPr>
      <w:t xml:space="preserve">барлығы </w:t>
    </w:r>
    <w:r w:rsidR="00AC4F24" w:rsidRPr="00FC35EB">
      <w:rPr>
        <w:rFonts w:ascii="Times New Roman" w:hAnsi="Times New Roman" w:cs="Times New Roman"/>
        <w:noProof/>
      </w:rPr>
      <w:fldChar w:fldCharType="begin"/>
    </w:r>
    <w:r w:rsidRPr="00FC35EB">
      <w:rPr>
        <w:rFonts w:ascii="Times New Roman" w:hAnsi="Times New Roman" w:cs="Times New Roman"/>
        <w:noProof/>
      </w:rPr>
      <w:instrText xml:space="preserve"> NUMPAGES </w:instrText>
    </w:r>
    <w:r w:rsidR="00AC4F24" w:rsidRPr="00FC35EB">
      <w:rPr>
        <w:rFonts w:ascii="Times New Roman" w:hAnsi="Times New Roman" w:cs="Times New Roman"/>
        <w:noProof/>
      </w:rPr>
      <w:fldChar w:fldCharType="separate"/>
    </w:r>
    <w:r w:rsidR="00186E50">
      <w:rPr>
        <w:rFonts w:ascii="Times New Roman" w:hAnsi="Times New Roman" w:cs="Times New Roman"/>
        <w:noProof/>
      </w:rPr>
      <w:t>7</w:t>
    </w:r>
    <w:r w:rsidR="00AC4F24" w:rsidRPr="00FC35EB">
      <w:rPr>
        <w:rFonts w:ascii="Times New Roman" w:hAnsi="Times New Roman" w:cs="Times New Roman"/>
        <w:noProof/>
      </w:rPr>
      <w:fldChar w:fldCharType="end"/>
    </w:r>
  </w:p>
  <w:p w:rsidR="00865899" w:rsidRDefault="00865899" w:rsidP="0086589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07E"/>
    <w:multiLevelType w:val="hybridMultilevel"/>
    <w:tmpl w:val="129AE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4088E"/>
    <w:multiLevelType w:val="hybridMultilevel"/>
    <w:tmpl w:val="B322C628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01F3B60"/>
    <w:multiLevelType w:val="hybridMultilevel"/>
    <w:tmpl w:val="38CE9B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58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21A4"/>
    <w:multiLevelType w:val="hybridMultilevel"/>
    <w:tmpl w:val="83FCC28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7B7D59"/>
    <w:multiLevelType w:val="hybridMultilevel"/>
    <w:tmpl w:val="129AE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07505"/>
    <w:multiLevelType w:val="hybridMultilevel"/>
    <w:tmpl w:val="1084E8B6"/>
    <w:lvl w:ilvl="0" w:tplc="0419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F1141AA"/>
    <w:multiLevelType w:val="hybridMultilevel"/>
    <w:tmpl w:val="92321D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726F2"/>
    <w:multiLevelType w:val="hybridMultilevel"/>
    <w:tmpl w:val="7E5AB2A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F7591"/>
    <w:multiLevelType w:val="hybridMultilevel"/>
    <w:tmpl w:val="2D10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34BF4"/>
    <w:multiLevelType w:val="singleLevel"/>
    <w:tmpl w:val="84A8BF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695663E1"/>
    <w:multiLevelType w:val="hybridMultilevel"/>
    <w:tmpl w:val="12A0E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0A65FD8"/>
    <w:multiLevelType w:val="hybridMultilevel"/>
    <w:tmpl w:val="879AA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B77AB"/>
    <w:multiLevelType w:val="hybridMultilevel"/>
    <w:tmpl w:val="38CE9B4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E9F6CE3"/>
    <w:multiLevelType w:val="hybridMultilevel"/>
    <w:tmpl w:val="129AE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28"/>
    <w:rsid w:val="000214B0"/>
    <w:rsid w:val="000E59F4"/>
    <w:rsid w:val="000F74FF"/>
    <w:rsid w:val="00107C1D"/>
    <w:rsid w:val="00121CBB"/>
    <w:rsid w:val="00186E50"/>
    <w:rsid w:val="00193050"/>
    <w:rsid w:val="00227D74"/>
    <w:rsid w:val="00232A96"/>
    <w:rsid w:val="002A586F"/>
    <w:rsid w:val="0044796A"/>
    <w:rsid w:val="00461EFD"/>
    <w:rsid w:val="00490E60"/>
    <w:rsid w:val="004A74F3"/>
    <w:rsid w:val="005030DB"/>
    <w:rsid w:val="00542EFB"/>
    <w:rsid w:val="00574CDE"/>
    <w:rsid w:val="00627F5C"/>
    <w:rsid w:val="00672087"/>
    <w:rsid w:val="00677F9B"/>
    <w:rsid w:val="006D46D8"/>
    <w:rsid w:val="006D4D3F"/>
    <w:rsid w:val="00713C28"/>
    <w:rsid w:val="00807EFA"/>
    <w:rsid w:val="0083417D"/>
    <w:rsid w:val="00865899"/>
    <w:rsid w:val="008B6900"/>
    <w:rsid w:val="008C6469"/>
    <w:rsid w:val="008E1ED9"/>
    <w:rsid w:val="008F35E8"/>
    <w:rsid w:val="00903954"/>
    <w:rsid w:val="00926130"/>
    <w:rsid w:val="00964EDC"/>
    <w:rsid w:val="009A6745"/>
    <w:rsid w:val="009C3729"/>
    <w:rsid w:val="00A32BE5"/>
    <w:rsid w:val="00A923B8"/>
    <w:rsid w:val="00AC386B"/>
    <w:rsid w:val="00AC4F24"/>
    <w:rsid w:val="00B02B71"/>
    <w:rsid w:val="00B70106"/>
    <w:rsid w:val="00C17BEF"/>
    <w:rsid w:val="00C33164"/>
    <w:rsid w:val="00C80B92"/>
    <w:rsid w:val="00CC717E"/>
    <w:rsid w:val="00CE003B"/>
    <w:rsid w:val="00CE5FF8"/>
    <w:rsid w:val="00CE7D8E"/>
    <w:rsid w:val="00E0509E"/>
    <w:rsid w:val="00EF60E6"/>
    <w:rsid w:val="00F32152"/>
    <w:rsid w:val="00F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24"/>
  </w:style>
  <w:style w:type="paragraph" w:styleId="1">
    <w:name w:val="heading 1"/>
    <w:basedOn w:val="a"/>
    <w:next w:val="a"/>
    <w:link w:val="10"/>
    <w:qFormat/>
    <w:rsid w:val="00AC38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386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86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AC386B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a3">
    <w:name w:val="Body Text Indent"/>
    <w:basedOn w:val="a"/>
    <w:link w:val="a4"/>
    <w:rsid w:val="00AC386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386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27">
    <w:name w:val="c27"/>
    <w:basedOn w:val="a"/>
    <w:rsid w:val="00AC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386B"/>
  </w:style>
  <w:style w:type="paragraph" w:customStyle="1" w:styleId="c2">
    <w:name w:val="c2"/>
    <w:basedOn w:val="a"/>
    <w:rsid w:val="00AC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386B"/>
  </w:style>
  <w:style w:type="character" w:customStyle="1" w:styleId="s00">
    <w:name w:val="s00"/>
    <w:rsid w:val="00AC386B"/>
  </w:style>
  <w:style w:type="paragraph" w:customStyle="1" w:styleId="11">
    <w:name w:val="Обычный1"/>
    <w:rsid w:val="00CE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E5F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5F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unhideWhenUsed/>
    <w:rsid w:val="00CE5F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E5F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Абзац списка1"/>
    <w:basedOn w:val="a"/>
    <w:rsid w:val="00CE5F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E5FF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E5FF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2A586F"/>
    <w:pPr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86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865899"/>
  </w:style>
  <w:style w:type="paragraph" w:styleId="aa">
    <w:name w:val="footer"/>
    <w:basedOn w:val="a"/>
    <w:link w:val="ab"/>
    <w:uiPriority w:val="99"/>
    <w:unhideWhenUsed/>
    <w:rsid w:val="00865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dcterms:created xsi:type="dcterms:W3CDTF">2022-08-30T21:10:00Z</dcterms:created>
  <dcterms:modified xsi:type="dcterms:W3CDTF">2022-09-28T16:47:00Z</dcterms:modified>
</cp:coreProperties>
</file>